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8810" w14:textId="77777777" w:rsidR="007906B6" w:rsidRPr="007906B6" w:rsidRDefault="007906B6" w:rsidP="007906B6"/>
    <w:p w14:paraId="49BA949F" w14:textId="2B85341F" w:rsidR="007906B6" w:rsidRDefault="004C4DE1" w:rsidP="007906B6">
      <w:pPr>
        <w:rPr>
          <w:b/>
          <w:bCs/>
        </w:rPr>
      </w:pPr>
      <w:r>
        <w:rPr>
          <w:b/>
          <w:bCs/>
        </w:rPr>
        <w:t xml:space="preserve">2110.30 </w:t>
      </w:r>
      <w:r w:rsidR="007906B6" w:rsidRPr="007906B6">
        <w:rPr>
          <w:b/>
          <w:bCs/>
        </w:rPr>
        <w:t xml:space="preserve">Customer Due Diligence (CDD) </w:t>
      </w:r>
      <w:r w:rsidR="007906B6">
        <w:rPr>
          <w:b/>
          <w:bCs/>
        </w:rPr>
        <w:t>Program</w:t>
      </w:r>
    </w:p>
    <w:p w14:paraId="79971E7F" w14:textId="2E45266C" w:rsidR="007906B6" w:rsidRPr="00D32614" w:rsidRDefault="00D32614" w:rsidP="007906B6">
      <w:r w:rsidRPr="00D32614">
        <w:t>Model Content</w:t>
      </w:r>
      <w:r w:rsidR="008D12CB">
        <w:t xml:space="preserve"> Created</w:t>
      </w:r>
      <w:r w:rsidRPr="00D32614">
        <w:t xml:space="preserve">: </w:t>
      </w:r>
      <w:r w:rsidR="008D12CB">
        <w:t>3</w:t>
      </w:r>
      <w:r w:rsidRPr="00D32614">
        <w:t>/1</w:t>
      </w:r>
      <w:r w:rsidR="008D12CB">
        <w:t>3</w:t>
      </w:r>
      <w:r w:rsidRPr="00D32614">
        <w:t>/2026</w:t>
      </w:r>
      <w:r>
        <w:br/>
      </w:r>
    </w:p>
    <w:p w14:paraId="456C8C02" w14:textId="0ABA36B5" w:rsidR="007906B6" w:rsidRPr="007906B6" w:rsidRDefault="007906B6" w:rsidP="007906B6">
      <w:pPr>
        <w:rPr>
          <w:b/>
          <w:bCs/>
        </w:rPr>
      </w:pPr>
      <w:r>
        <w:rPr>
          <w:b/>
          <w:bCs/>
        </w:rPr>
        <w:t>General Statement</w:t>
      </w:r>
    </w:p>
    <w:p w14:paraId="56BA665C" w14:textId="79D88847" w:rsidR="007906B6" w:rsidRPr="007906B6" w:rsidRDefault="007906B6" w:rsidP="007906B6">
      <w:r>
        <w:t xml:space="preserve">[Credit Union] is implementing a </w:t>
      </w:r>
      <w:r w:rsidRPr="007906B6">
        <w:t>Customer</w:t>
      </w:r>
      <w:r>
        <w:t>/Member</w:t>
      </w:r>
      <w:r w:rsidRPr="007906B6">
        <w:t xml:space="preserve"> Due Diligence (CDD</w:t>
      </w:r>
      <w:r>
        <w:t>/MDD</w:t>
      </w:r>
      <w:r w:rsidRPr="007906B6">
        <w:t>) P</w:t>
      </w:r>
      <w:r>
        <w:t>rogram</w:t>
      </w:r>
      <w:r w:rsidRPr="007906B6">
        <w:t xml:space="preserve"> to establish a risk-based framework for identifying, understanding, and monitoring member relationships to comply with the Bank Secrecy Act (BSA), Anti-Money Laundering (AML) regulations, and applicable FinCEN requirements.</w:t>
      </w:r>
    </w:p>
    <w:p w14:paraId="47F5AF76" w14:textId="7751916B" w:rsidR="007906B6" w:rsidRPr="007906B6" w:rsidRDefault="007906B6" w:rsidP="007906B6">
      <w:r w:rsidRPr="007906B6">
        <w:t>This policy applies to all members</w:t>
      </w:r>
      <w:r>
        <w:t>,</w:t>
      </w:r>
      <w:r w:rsidRPr="007906B6">
        <w:t xml:space="preserve"> including individuals, legal entities, and </w:t>
      </w:r>
      <w:proofErr w:type="gramStart"/>
      <w:r w:rsidRPr="007906B6">
        <w:t>account</w:t>
      </w:r>
      <w:proofErr w:type="gramEnd"/>
      <w:r w:rsidRPr="007906B6">
        <w:t xml:space="preserve"> relationships across all products and services offered by the </w:t>
      </w:r>
      <w:r>
        <w:t>C</w:t>
      </w:r>
      <w:r w:rsidRPr="007906B6">
        <w:t xml:space="preserve">redit </w:t>
      </w:r>
      <w:r>
        <w:t>U</w:t>
      </w:r>
      <w:r w:rsidRPr="007906B6">
        <w:t>nion.</w:t>
      </w:r>
    </w:p>
    <w:p w14:paraId="3969602D" w14:textId="3610DD57" w:rsidR="007906B6" w:rsidRPr="007906B6" w:rsidRDefault="007906B6" w:rsidP="007906B6">
      <w:pPr>
        <w:pStyle w:val="ListParagraph"/>
        <w:numPr>
          <w:ilvl w:val="0"/>
          <w:numId w:val="31"/>
        </w:numPr>
        <w:rPr>
          <w:b/>
          <w:bCs/>
        </w:rPr>
      </w:pPr>
      <w:r w:rsidRPr="007906B6">
        <w:rPr>
          <w:b/>
          <w:bCs/>
        </w:rPr>
        <w:t>Purpose</w:t>
      </w:r>
      <w:r>
        <w:rPr>
          <w:b/>
          <w:bCs/>
        </w:rPr>
        <w:t xml:space="preserve">.  </w:t>
      </w:r>
      <w:r>
        <w:t xml:space="preserve">The Credit Union’s CDD/MDD program is designed to comply with regulatory guidance </w:t>
      </w:r>
      <w:r w:rsidR="00A11CE1">
        <w:t>and requirements contained within:</w:t>
      </w:r>
    </w:p>
    <w:p w14:paraId="1F87850B" w14:textId="77777777" w:rsidR="007906B6" w:rsidRPr="007906B6" w:rsidRDefault="007906B6" w:rsidP="007906B6">
      <w:pPr>
        <w:numPr>
          <w:ilvl w:val="0"/>
          <w:numId w:val="1"/>
        </w:numPr>
        <w:tabs>
          <w:tab w:val="num" w:pos="720"/>
        </w:tabs>
      </w:pPr>
      <w:r w:rsidRPr="007906B6">
        <w:t>Bank Secrecy Act (BSA)</w:t>
      </w:r>
    </w:p>
    <w:p w14:paraId="2D07CA8B" w14:textId="77777777" w:rsidR="007906B6" w:rsidRPr="007906B6" w:rsidRDefault="007906B6" w:rsidP="007906B6">
      <w:pPr>
        <w:numPr>
          <w:ilvl w:val="0"/>
          <w:numId w:val="1"/>
        </w:numPr>
        <w:tabs>
          <w:tab w:val="num" w:pos="720"/>
        </w:tabs>
      </w:pPr>
      <w:r w:rsidRPr="007906B6">
        <w:t>FinCEN Customer Due Diligence Rule (effective May 11, 2018)</w:t>
      </w:r>
    </w:p>
    <w:p w14:paraId="1EF1FE48" w14:textId="77777777" w:rsidR="007906B6" w:rsidRPr="007906B6" w:rsidRDefault="007906B6" w:rsidP="007906B6">
      <w:pPr>
        <w:numPr>
          <w:ilvl w:val="0"/>
          <w:numId w:val="1"/>
        </w:numPr>
        <w:tabs>
          <w:tab w:val="num" w:pos="720"/>
        </w:tabs>
      </w:pPr>
      <w:r w:rsidRPr="007906B6">
        <w:t>FFIEC BSA/AML Examination Manual</w:t>
      </w:r>
    </w:p>
    <w:p w14:paraId="65D32EBF" w14:textId="77777777" w:rsidR="007906B6" w:rsidRPr="007906B6" w:rsidRDefault="007906B6" w:rsidP="007906B6">
      <w:pPr>
        <w:numPr>
          <w:ilvl w:val="0"/>
          <w:numId w:val="1"/>
        </w:numPr>
        <w:tabs>
          <w:tab w:val="num" w:pos="720"/>
        </w:tabs>
      </w:pPr>
      <w:r w:rsidRPr="007906B6">
        <w:t>Office of Foreign Assets Control (OFAC) regulations</w:t>
      </w:r>
    </w:p>
    <w:p w14:paraId="7807E4A0" w14:textId="53A0E8F1" w:rsidR="007906B6" w:rsidRPr="007906B6" w:rsidRDefault="00A11CE1" w:rsidP="00A11CE1">
      <w:pPr>
        <w:ind w:left="360"/>
      </w:pPr>
      <w:r>
        <w:t xml:space="preserve">The Credit Union’s program is risk-based and is designed to understand the nature and purpose of member relationships, develop and maintain a member risk profile, detect and report suspicious activity, mitigate money laundering, terrorist financing, fraud, and other financial crimes, and support safe and sound operations.  </w:t>
      </w:r>
      <w:r w:rsidR="007906B6" w:rsidRPr="007906B6">
        <w:t>CDD</w:t>
      </w:r>
      <w:r w:rsidR="00CC2EEA">
        <w:t>/MDD</w:t>
      </w:r>
      <w:r w:rsidR="007906B6" w:rsidRPr="007906B6">
        <w:t xml:space="preserve"> requirements are applied commensurate with the level of risk posed by each member relationship, with enhanced measures applied to higher-risk members.</w:t>
      </w:r>
      <w:r>
        <w:br/>
      </w:r>
    </w:p>
    <w:p w14:paraId="2097D587" w14:textId="17160EEB" w:rsidR="007906B6" w:rsidRPr="007906B6" w:rsidRDefault="007906B6" w:rsidP="00A11CE1">
      <w:pPr>
        <w:pStyle w:val="ListParagraph"/>
        <w:numPr>
          <w:ilvl w:val="0"/>
          <w:numId w:val="31"/>
        </w:numPr>
      </w:pPr>
      <w:r w:rsidRPr="00A11CE1">
        <w:rPr>
          <w:b/>
          <w:bCs/>
        </w:rPr>
        <w:t>Member Risk Rating</w:t>
      </w:r>
      <w:r w:rsidR="00A11CE1" w:rsidRPr="00A11CE1">
        <w:rPr>
          <w:b/>
          <w:bCs/>
        </w:rPr>
        <w:t xml:space="preserve">.  </w:t>
      </w:r>
      <w:r w:rsidRPr="007906B6">
        <w:t xml:space="preserve">Each member relationship will be assigned a </w:t>
      </w:r>
      <w:r w:rsidRPr="00A11CE1">
        <w:rPr>
          <w:b/>
          <w:bCs/>
        </w:rPr>
        <w:t xml:space="preserve">risk </w:t>
      </w:r>
      <w:r w:rsidR="00A11CE1" w:rsidRPr="00A11CE1">
        <w:rPr>
          <w:b/>
          <w:bCs/>
        </w:rPr>
        <w:t xml:space="preserve">rating </w:t>
      </w:r>
      <w:r w:rsidRPr="007906B6">
        <w:t>based on relevant risk factors known at account opening and through ongoing monitoring.</w:t>
      </w:r>
      <w:r w:rsidR="00A11CE1">
        <w:t xml:space="preserve">  There is no single determinative risk factor, rather the assessment of risk is based on a holistic review of available information.</w:t>
      </w:r>
      <w:r w:rsidR="00A11CE1">
        <w:br/>
      </w:r>
    </w:p>
    <w:p w14:paraId="4BC8283E" w14:textId="77777777" w:rsidR="004A435C" w:rsidRPr="004A435C" w:rsidRDefault="007906B6" w:rsidP="00A11CE1">
      <w:pPr>
        <w:pStyle w:val="ListParagraph"/>
        <w:numPr>
          <w:ilvl w:val="0"/>
          <w:numId w:val="33"/>
        </w:numPr>
        <w:rPr>
          <w:b/>
          <w:bCs/>
        </w:rPr>
      </w:pPr>
      <w:r w:rsidRPr="00A11CE1">
        <w:rPr>
          <w:b/>
          <w:bCs/>
        </w:rPr>
        <w:t>Risk Factors Considered</w:t>
      </w:r>
      <w:r w:rsidR="00A11CE1">
        <w:rPr>
          <w:b/>
          <w:bCs/>
        </w:rPr>
        <w:t xml:space="preserve">.  </w:t>
      </w:r>
      <w:r w:rsidR="00A11CE1">
        <w:t>In determining a member’s risk profile, the Credit Union will consider</w:t>
      </w:r>
      <w:r w:rsidR="001407E4">
        <w:t xml:space="preserve"> the following, which is not an exhaustive list</w:t>
      </w:r>
      <w:r w:rsidR="00A11CE1">
        <w:t>:</w:t>
      </w:r>
      <w:r w:rsidR="00FE398A">
        <w:t xml:space="preserve"> </w:t>
      </w:r>
    </w:p>
    <w:p w14:paraId="740AB12D" w14:textId="1F89C6EA" w:rsidR="007906B6" w:rsidRPr="00A11CE1" w:rsidRDefault="00FE398A" w:rsidP="004A435C">
      <w:pPr>
        <w:pStyle w:val="ListParagraph"/>
        <w:rPr>
          <w:b/>
          <w:bCs/>
        </w:rPr>
      </w:pPr>
      <w:r w:rsidRPr="004A435C">
        <w:rPr>
          <w:i/>
          <w:iCs/>
        </w:rPr>
        <w:lastRenderedPageBreak/>
        <w:t>{Credit Unions should consider additional risk factors within each category</w:t>
      </w:r>
      <w:r w:rsidR="004A435C" w:rsidRPr="004A435C">
        <w:rPr>
          <w:i/>
          <w:iCs/>
        </w:rPr>
        <w:t xml:space="preserve"> </w:t>
      </w:r>
      <w:r w:rsidR="00850F8E">
        <w:rPr>
          <w:i/>
          <w:iCs/>
        </w:rPr>
        <w:t xml:space="preserve">or additional risk categories </w:t>
      </w:r>
      <w:r w:rsidR="004A435C" w:rsidRPr="004A435C">
        <w:rPr>
          <w:i/>
          <w:iCs/>
        </w:rPr>
        <w:t xml:space="preserve">based on </w:t>
      </w:r>
      <w:proofErr w:type="gramStart"/>
      <w:r w:rsidR="001155F4">
        <w:rPr>
          <w:i/>
          <w:iCs/>
        </w:rPr>
        <w:t>its</w:t>
      </w:r>
      <w:proofErr w:type="gramEnd"/>
      <w:r w:rsidR="001155F4">
        <w:rPr>
          <w:i/>
          <w:iCs/>
        </w:rPr>
        <w:t xml:space="preserve"> </w:t>
      </w:r>
      <w:r w:rsidR="004A435C" w:rsidRPr="004A435C">
        <w:rPr>
          <w:i/>
          <w:iCs/>
        </w:rPr>
        <w:t>overall BSA/AML risk assessment}</w:t>
      </w:r>
    </w:p>
    <w:p w14:paraId="6C9D141C" w14:textId="77777777" w:rsidR="007906B6" w:rsidRPr="007906B6" w:rsidRDefault="007906B6" w:rsidP="00B13090">
      <w:pPr>
        <w:pStyle w:val="ListParagraph"/>
        <w:numPr>
          <w:ilvl w:val="0"/>
          <w:numId w:val="51"/>
        </w:numPr>
      </w:pPr>
      <w:r w:rsidRPr="00B13090">
        <w:rPr>
          <w:b/>
          <w:bCs/>
        </w:rPr>
        <w:t>Products and Services</w:t>
      </w:r>
    </w:p>
    <w:p w14:paraId="61196451" w14:textId="77777777" w:rsidR="007906B6" w:rsidRPr="007906B6" w:rsidRDefault="007906B6" w:rsidP="00A11CE1">
      <w:pPr>
        <w:numPr>
          <w:ilvl w:val="1"/>
          <w:numId w:val="34"/>
        </w:numPr>
      </w:pPr>
      <w:r w:rsidRPr="007906B6">
        <w:t>Cash-intensive products</w:t>
      </w:r>
    </w:p>
    <w:p w14:paraId="262A51DE" w14:textId="77777777" w:rsidR="007906B6" w:rsidRPr="007906B6" w:rsidRDefault="007906B6" w:rsidP="00A11CE1">
      <w:pPr>
        <w:numPr>
          <w:ilvl w:val="1"/>
          <w:numId w:val="34"/>
        </w:numPr>
      </w:pPr>
      <w:r w:rsidRPr="007906B6">
        <w:t>International wires or ACH</w:t>
      </w:r>
    </w:p>
    <w:p w14:paraId="40936E57" w14:textId="77777777" w:rsidR="007906B6" w:rsidRPr="007906B6" w:rsidRDefault="007906B6" w:rsidP="00A11CE1">
      <w:pPr>
        <w:numPr>
          <w:ilvl w:val="1"/>
          <w:numId w:val="34"/>
        </w:numPr>
      </w:pPr>
      <w:r w:rsidRPr="007906B6">
        <w:t>Remote deposit capture</w:t>
      </w:r>
    </w:p>
    <w:p w14:paraId="72FCDE63" w14:textId="77777777" w:rsidR="007906B6" w:rsidRPr="007906B6" w:rsidRDefault="007906B6" w:rsidP="00B13090">
      <w:pPr>
        <w:numPr>
          <w:ilvl w:val="0"/>
          <w:numId w:val="51"/>
        </w:numPr>
      </w:pPr>
      <w:r w:rsidRPr="007906B6">
        <w:rPr>
          <w:b/>
          <w:bCs/>
        </w:rPr>
        <w:t>Member Type</w:t>
      </w:r>
    </w:p>
    <w:p w14:paraId="69EC738C" w14:textId="77777777" w:rsidR="007906B6" w:rsidRPr="007906B6" w:rsidRDefault="007906B6" w:rsidP="002955AB">
      <w:pPr>
        <w:numPr>
          <w:ilvl w:val="0"/>
          <w:numId w:val="52"/>
        </w:numPr>
      </w:pPr>
      <w:r w:rsidRPr="007906B6">
        <w:t>Individual members</w:t>
      </w:r>
    </w:p>
    <w:p w14:paraId="2F19BE2B" w14:textId="77777777" w:rsidR="007906B6" w:rsidRPr="007906B6" w:rsidRDefault="007906B6" w:rsidP="002955AB">
      <w:pPr>
        <w:numPr>
          <w:ilvl w:val="0"/>
          <w:numId w:val="52"/>
        </w:numPr>
      </w:pPr>
      <w:r w:rsidRPr="007906B6">
        <w:t>Legal entities</w:t>
      </w:r>
    </w:p>
    <w:p w14:paraId="09A13837" w14:textId="77777777" w:rsidR="007906B6" w:rsidRPr="007906B6" w:rsidRDefault="007906B6" w:rsidP="002955AB">
      <w:pPr>
        <w:numPr>
          <w:ilvl w:val="0"/>
          <w:numId w:val="52"/>
        </w:numPr>
      </w:pPr>
      <w:r w:rsidRPr="007906B6">
        <w:t>Money services businesses (MSBs)</w:t>
      </w:r>
    </w:p>
    <w:p w14:paraId="08F63920" w14:textId="77777777" w:rsidR="007906B6" w:rsidRPr="007906B6" w:rsidRDefault="007906B6" w:rsidP="002955AB">
      <w:pPr>
        <w:numPr>
          <w:ilvl w:val="0"/>
          <w:numId w:val="52"/>
        </w:numPr>
      </w:pPr>
      <w:r w:rsidRPr="007906B6">
        <w:t xml:space="preserve">Politically exposed </w:t>
      </w:r>
      <w:proofErr w:type="gramStart"/>
      <w:r w:rsidRPr="007906B6">
        <w:t>persons</w:t>
      </w:r>
      <w:proofErr w:type="gramEnd"/>
      <w:r w:rsidRPr="007906B6">
        <w:t xml:space="preserve"> (PEPs)</w:t>
      </w:r>
    </w:p>
    <w:p w14:paraId="68FA3B5E" w14:textId="77777777" w:rsidR="007906B6" w:rsidRPr="007906B6" w:rsidRDefault="007906B6" w:rsidP="00B13090">
      <w:pPr>
        <w:numPr>
          <w:ilvl w:val="0"/>
          <w:numId w:val="51"/>
        </w:numPr>
      </w:pPr>
      <w:r w:rsidRPr="007906B6">
        <w:rPr>
          <w:b/>
          <w:bCs/>
        </w:rPr>
        <w:t>Geographic Risk</w:t>
      </w:r>
    </w:p>
    <w:p w14:paraId="62C46E92" w14:textId="77777777" w:rsidR="007906B6" w:rsidRPr="007906B6" w:rsidRDefault="007906B6" w:rsidP="002955AB">
      <w:pPr>
        <w:numPr>
          <w:ilvl w:val="0"/>
          <w:numId w:val="53"/>
        </w:numPr>
      </w:pPr>
      <w:r w:rsidRPr="007906B6">
        <w:t>High-risk domestic locations</w:t>
      </w:r>
    </w:p>
    <w:p w14:paraId="24D2C6AF" w14:textId="77777777" w:rsidR="007906B6" w:rsidRPr="007906B6" w:rsidRDefault="007906B6" w:rsidP="002955AB">
      <w:pPr>
        <w:numPr>
          <w:ilvl w:val="0"/>
          <w:numId w:val="53"/>
        </w:numPr>
      </w:pPr>
      <w:r w:rsidRPr="007906B6">
        <w:t>Foreign jurisdictions</w:t>
      </w:r>
    </w:p>
    <w:p w14:paraId="451CF3C7" w14:textId="77777777" w:rsidR="007906B6" w:rsidRPr="007906B6" w:rsidRDefault="007906B6" w:rsidP="002955AB">
      <w:pPr>
        <w:numPr>
          <w:ilvl w:val="0"/>
          <w:numId w:val="53"/>
        </w:numPr>
      </w:pPr>
      <w:r w:rsidRPr="007906B6">
        <w:t>Sanctioned or high-risk countries</w:t>
      </w:r>
    </w:p>
    <w:p w14:paraId="02C0E8B9" w14:textId="77777777" w:rsidR="007906B6" w:rsidRPr="007906B6" w:rsidRDefault="007906B6" w:rsidP="00B13090">
      <w:pPr>
        <w:numPr>
          <w:ilvl w:val="0"/>
          <w:numId w:val="51"/>
        </w:numPr>
      </w:pPr>
      <w:r w:rsidRPr="007906B6">
        <w:rPr>
          <w:b/>
          <w:bCs/>
        </w:rPr>
        <w:t>Expected and Actual Account Activity</w:t>
      </w:r>
    </w:p>
    <w:p w14:paraId="3DACA300" w14:textId="77777777" w:rsidR="007906B6" w:rsidRPr="007906B6" w:rsidRDefault="007906B6" w:rsidP="002955AB">
      <w:pPr>
        <w:numPr>
          <w:ilvl w:val="0"/>
          <w:numId w:val="54"/>
        </w:numPr>
      </w:pPr>
      <w:r w:rsidRPr="007906B6">
        <w:t>Transaction volume</w:t>
      </w:r>
    </w:p>
    <w:p w14:paraId="22F60DC5" w14:textId="77777777" w:rsidR="007906B6" w:rsidRPr="007906B6" w:rsidRDefault="007906B6" w:rsidP="002955AB">
      <w:pPr>
        <w:numPr>
          <w:ilvl w:val="0"/>
          <w:numId w:val="54"/>
        </w:numPr>
      </w:pPr>
      <w:r w:rsidRPr="007906B6">
        <w:t>Currency usage</w:t>
      </w:r>
    </w:p>
    <w:p w14:paraId="547B1615" w14:textId="77777777" w:rsidR="007906B6" w:rsidRPr="007906B6" w:rsidRDefault="007906B6" w:rsidP="002955AB">
      <w:pPr>
        <w:numPr>
          <w:ilvl w:val="0"/>
          <w:numId w:val="54"/>
        </w:numPr>
      </w:pPr>
      <w:r w:rsidRPr="007906B6">
        <w:t>Domestic vs. international activity</w:t>
      </w:r>
    </w:p>
    <w:p w14:paraId="7E9C7844" w14:textId="6363030B" w:rsidR="00275C23" w:rsidRDefault="007906B6" w:rsidP="007906B6">
      <w:pPr>
        <w:pStyle w:val="ListParagraph"/>
        <w:numPr>
          <w:ilvl w:val="0"/>
          <w:numId w:val="33"/>
        </w:numPr>
      </w:pPr>
      <w:r w:rsidRPr="00275C23">
        <w:rPr>
          <w:b/>
          <w:bCs/>
        </w:rPr>
        <w:t xml:space="preserve">Risk </w:t>
      </w:r>
      <w:r w:rsidR="00275C23">
        <w:rPr>
          <w:b/>
          <w:bCs/>
        </w:rPr>
        <w:t xml:space="preserve">Ratings.  </w:t>
      </w:r>
      <w:r w:rsidR="00275C23">
        <w:t>The Credit Union</w:t>
      </w:r>
      <w:r w:rsidRPr="007906B6">
        <w:t xml:space="preserve"> may be categorized as </w:t>
      </w:r>
      <w:r w:rsidRPr="00275C23">
        <w:rPr>
          <w:b/>
          <w:bCs/>
        </w:rPr>
        <w:t>Low, Moderate, or High</w:t>
      </w:r>
      <w:r w:rsidRPr="007906B6">
        <w:t xml:space="preserve">, or other classifications as determined by </w:t>
      </w:r>
      <w:r w:rsidR="00A11CE1">
        <w:t>M</w:t>
      </w:r>
      <w:r w:rsidRPr="007906B6">
        <w:t>anagement.</w:t>
      </w:r>
      <w:r w:rsidR="00CF4C3E">
        <w:t xml:space="preserve">  These ratings will be documented and retained as part of the member record.</w:t>
      </w:r>
      <w:r w:rsidR="00275C23">
        <w:br/>
      </w:r>
    </w:p>
    <w:p w14:paraId="6CE7FE74" w14:textId="2EAABE8A" w:rsidR="007906B6" w:rsidRPr="007906B6" w:rsidRDefault="007906B6" w:rsidP="00AF6B25">
      <w:pPr>
        <w:pStyle w:val="ListParagraph"/>
        <w:numPr>
          <w:ilvl w:val="0"/>
          <w:numId w:val="36"/>
        </w:numPr>
      </w:pPr>
      <w:r w:rsidRPr="00275C23">
        <w:rPr>
          <w:b/>
          <w:bCs/>
        </w:rPr>
        <w:t>Member Information</w:t>
      </w:r>
      <w:r w:rsidR="00275C23" w:rsidRPr="00275C23">
        <w:rPr>
          <w:b/>
          <w:bCs/>
        </w:rPr>
        <w:t xml:space="preserve">. </w:t>
      </w:r>
      <w:r w:rsidR="00275C23">
        <w:rPr>
          <w:b/>
          <w:bCs/>
        </w:rPr>
        <w:t xml:space="preserve"> </w:t>
      </w:r>
      <w:r w:rsidR="00275C23">
        <w:t xml:space="preserve">The Credit Union will collect sufficient information at account opening to understand the nature and purpose of the members’ relationship and to establish a baseline </w:t>
      </w:r>
      <w:proofErr w:type="gramStart"/>
      <w:r w:rsidR="00275C23">
        <w:t>of</w:t>
      </w:r>
      <w:proofErr w:type="gramEnd"/>
      <w:r w:rsidR="00275C23">
        <w:t xml:space="preserve"> expected activity.   The information may also be used to </w:t>
      </w:r>
      <w:proofErr w:type="gramStart"/>
      <w:r w:rsidR="00275C23">
        <w:t>monitor for</w:t>
      </w:r>
      <w:proofErr w:type="gramEnd"/>
      <w:r w:rsidR="00275C23">
        <w:t xml:space="preserve"> suspicious activity, support OFAC screening, identify the beneficial owners of private banking accounts, and/or respond to law enforcement requests. The level and type of information collected are commensurate with the member’s risk profile.</w:t>
      </w:r>
      <w:r w:rsidR="00275C23">
        <w:br/>
      </w:r>
      <w:r w:rsidR="00AF6B25">
        <w:lastRenderedPageBreak/>
        <w:br/>
      </w:r>
    </w:p>
    <w:p w14:paraId="051CAA76" w14:textId="7449534B" w:rsidR="0017243E" w:rsidRDefault="00275C23" w:rsidP="00FF400A">
      <w:pPr>
        <w:pStyle w:val="ListParagraph"/>
        <w:numPr>
          <w:ilvl w:val="0"/>
          <w:numId w:val="36"/>
        </w:numPr>
      </w:pPr>
      <w:r>
        <w:rPr>
          <w:b/>
          <w:bCs/>
        </w:rPr>
        <w:t xml:space="preserve">High-Risk Members.  </w:t>
      </w:r>
      <w:r>
        <w:t>The Credit Union perform</w:t>
      </w:r>
      <w:r w:rsidR="003F5B52">
        <w:t>s</w:t>
      </w:r>
      <w:r>
        <w:t xml:space="preserve"> enhanced due diligence for </w:t>
      </w:r>
      <w:r w:rsidR="00FF400A">
        <w:t>higher-risk</w:t>
      </w:r>
      <w:r>
        <w:t xml:space="preserve"> members.  </w:t>
      </w:r>
      <w:r w:rsidR="00FF400A">
        <w:t>These members have been identified to present a higher risk of money laundering or terrorist financing</w:t>
      </w:r>
      <w:r w:rsidR="004304B9">
        <w:t xml:space="preserve">. </w:t>
      </w:r>
      <w:r w:rsidR="005C0B41">
        <w:t xml:space="preserve">High-risk members may include, but </w:t>
      </w:r>
      <w:r w:rsidR="00EE1929">
        <w:t>are</w:t>
      </w:r>
      <w:r w:rsidR="005C0B41">
        <w:t xml:space="preserve"> not limited to: </w:t>
      </w:r>
      <w:r w:rsidR="0017243E">
        <w:br/>
      </w:r>
    </w:p>
    <w:p w14:paraId="74A54986" w14:textId="77777777" w:rsidR="0017243E" w:rsidRDefault="007906B6" w:rsidP="00A44791">
      <w:pPr>
        <w:pStyle w:val="ListParagraph"/>
        <w:numPr>
          <w:ilvl w:val="2"/>
          <w:numId w:val="48"/>
        </w:numPr>
        <w:contextualSpacing w:val="0"/>
      </w:pPr>
      <w:r w:rsidRPr="007906B6">
        <w:t>Money services businesses</w:t>
      </w:r>
    </w:p>
    <w:p w14:paraId="506A1E0F" w14:textId="77777777" w:rsidR="0017243E" w:rsidRDefault="007906B6" w:rsidP="00A44791">
      <w:pPr>
        <w:pStyle w:val="ListParagraph"/>
        <w:numPr>
          <w:ilvl w:val="2"/>
          <w:numId w:val="48"/>
        </w:numPr>
        <w:contextualSpacing w:val="0"/>
      </w:pPr>
      <w:r w:rsidRPr="007906B6">
        <w:t>Foreign correspondent or payable-through accounts</w:t>
      </w:r>
    </w:p>
    <w:p w14:paraId="6FCE5938" w14:textId="77777777" w:rsidR="0017243E" w:rsidRDefault="007906B6" w:rsidP="00A44791">
      <w:pPr>
        <w:pStyle w:val="ListParagraph"/>
        <w:numPr>
          <w:ilvl w:val="2"/>
          <w:numId w:val="48"/>
        </w:numPr>
        <w:contextualSpacing w:val="0"/>
      </w:pPr>
      <w:r w:rsidRPr="007906B6">
        <w:t>Private banking members</w:t>
      </w:r>
    </w:p>
    <w:p w14:paraId="53382E16" w14:textId="77777777" w:rsidR="0017243E" w:rsidRDefault="007906B6" w:rsidP="00A44791">
      <w:pPr>
        <w:pStyle w:val="ListParagraph"/>
        <w:numPr>
          <w:ilvl w:val="2"/>
          <w:numId w:val="48"/>
        </w:numPr>
        <w:contextualSpacing w:val="0"/>
      </w:pPr>
      <w:r w:rsidRPr="007906B6">
        <w:t xml:space="preserve">Politically exposed </w:t>
      </w:r>
      <w:proofErr w:type="gramStart"/>
      <w:r w:rsidRPr="007906B6">
        <w:t>persons</w:t>
      </w:r>
      <w:proofErr w:type="gramEnd"/>
    </w:p>
    <w:p w14:paraId="313B67CC" w14:textId="5F219A1D" w:rsidR="005C0B41" w:rsidRDefault="007906B6" w:rsidP="005C0B41">
      <w:pPr>
        <w:pStyle w:val="ListParagraph"/>
        <w:numPr>
          <w:ilvl w:val="2"/>
          <w:numId w:val="48"/>
        </w:numPr>
        <w:contextualSpacing w:val="0"/>
      </w:pPr>
      <w:r w:rsidRPr="007906B6">
        <w:t>Members operating in high-risk industries or geographies</w:t>
      </w:r>
    </w:p>
    <w:p w14:paraId="63788CF1" w14:textId="3DFB87B4" w:rsidR="005C0B41" w:rsidRPr="007D24E7" w:rsidRDefault="005C0B41" w:rsidP="007D24E7">
      <w:pPr>
        <w:rPr>
          <w:i/>
          <w:iCs/>
        </w:rPr>
      </w:pPr>
      <w:r w:rsidRPr="007D24E7">
        <w:rPr>
          <w:i/>
          <w:iCs/>
        </w:rPr>
        <w:t xml:space="preserve">{Credit Unions </w:t>
      </w:r>
      <w:r>
        <w:rPr>
          <w:i/>
          <w:iCs/>
        </w:rPr>
        <w:t xml:space="preserve">may </w:t>
      </w:r>
      <w:r w:rsidRPr="007D24E7">
        <w:rPr>
          <w:i/>
          <w:iCs/>
        </w:rPr>
        <w:t xml:space="preserve">consider </w:t>
      </w:r>
      <w:r w:rsidR="00315CDF">
        <w:rPr>
          <w:i/>
          <w:iCs/>
        </w:rPr>
        <w:t xml:space="preserve">other types of member relationships high-risk </w:t>
      </w:r>
      <w:r w:rsidRPr="007D24E7">
        <w:rPr>
          <w:i/>
          <w:iCs/>
        </w:rPr>
        <w:t xml:space="preserve">based on </w:t>
      </w:r>
      <w:proofErr w:type="gramStart"/>
      <w:r w:rsidR="001155F4">
        <w:rPr>
          <w:i/>
          <w:iCs/>
        </w:rPr>
        <w:t>its</w:t>
      </w:r>
      <w:proofErr w:type="gramEnd"/>
      <w:r w:rsidR="001155F4">
        <w:rPr>
          <w:i/>
          <w:iCs/>
        </w:rPr>
        <w:t xml:space="preserve"> </w:t>
      </w:r>
      <w:r w:rsidRPr="007D24E7">
        <w:rPr>
          <w:i/>
          <w:iCs/>
        </w:rPr>
        <w:t>overall BSA/AML risk assessment}</w:t>
      </w:r>
    </w:p>
    <w:p w14:paraId="35BDACE1" w14:textId="42460533" w:rsidR="00774BD8" w:rsidRDefault="00FA2EE3" w:rsidP="00FF400A">
      <w:pPr>
        <w:ind w:left="360"/>
      </w:pPr>
      <w:r>
        <w:t>E</w:t>
      </w:r>
      <w:r w:rsidR="00FF400A">
        <w:t xml:space="preserve">nhanced due diligence measures for </w:t>
      </w:r>
      <w:r w:rsidR="006C6F06">
        <w:t>higher-risk</w:t>
      </w:r>
      <w:r w:rsidR="00FF400A">
        <w:t xml:space="preserve"> members</w:t>
      </w:r>
      <w:r w:rsidR="00B64330">
        <w:t xml:space="preserve"> will include </w:t>
      </w:r>
      <w:r w:rsidR="006C2725">
        <w:t>obtaining and reviewing additional information</w:t>
      </w:r>
      <w:r w:rsidR="00B010C8">
        <w:t xml:space="preserve">.  </w:t>
      </w:r>
      <w:r>
        <w:t xml:space="preserve">The extent of due diligence performed is based on the specific risk posed by the member, and the review will be completed at least annually.  </w:t>
      </w:r>
      <w:r w:rsidR="00730315">
        <w:t xml:space="preserve"> The following information will be obtained at account opening and throughout the relationship:</w:t>
      </w:r>
    </w:p>
    <w:p w14:paraId="476D56D9" w14:textId="77777777" w:rsidR="00730315" w:rsidRDefault="00774BD8" w:rsidP="00202050">
      <w:pPr>
        <w:numPr>
          <w:ilvl w:val="2"/>
          <w:numId w:val="55"/>
        </w:numPr>
      </w:pPr>
      <w:r w:rsidRPr="00531B9C">
        <w:t>Purpose of the account.</w:t>
      </w:r>
    </w:p>
    <w:p w14:paraId="6C8BC53A" w14:textId="77777777" w:rsidR="00730315" w:rsidRPr="00730315" w:rsidRDefault="00774BD8" w:rsidP="00202050">
      <w:pPr>
        <w:numPr>
          <w:ilvl w:val="2"/>
          <w:numId w:val="55"/>
        </w:numPr>
      </w:pPr>
      <w:r w:rsidRPr="00531B9C">
        <w:t>Source of wealth and funds.</w:t>
      </w:r>
    </w:p>
    <w:p w14:paraId="585AAD52" w14:textId="77777777" w:rsidR="00730315" w:rsidRDefault="00774BD8" w:rsidP="00202050">
      <w:pPr>
        <w:numPr>
          <w:ilvl w:val="2"/>
          <w:numId w:val="55"/>
        </w:numPr>
      </w:pPr>
      <w:r w:rsidRPr="00531B9C">
        <w:t>Individuals with ownership or control over the account, such as beneficial owners, signatories, or guarantors.</w:t>
      </w:r>
    </w:p>
    <w:p w14:paraId="569F2003" w14:textId="77777777" w:rsidR="00730315" w:rsidRDefault="00774BD8" w:rsidP="00202050">
      <w:pPr>
        <w:numPr>
          <w:ilvl w:val="2"/>
          <w:numId w:val="55"/>
        </w:numPr>
      </w:pPr>
      <w:r w:rsidRPr="00531B9C">
        <w:t>Member’s (or beneficial owner’s) occupation and type of business.</w:t>
      </w:r>
    </w:p>
    <w:p w14:paraId="23E7FFAD" w14:textId="228D94D5" w:rsidR="00730315" w:rsidRDefault="00774BD8" w:rsidP="00202050">
      <w:pPr>
        <w:numPr>
          <w:ilvl w:val="2"/>
          <w:numId w:val="55"/>
        </w:numPr>
      </w:pPr>
      <w:r w:rsidRPr="00531B9C">
        <w:t>Financial statements</w:t>
      </w:r>
      <w:r w:rsidR="00730315">
        <w:t xml:space="preserve"> (business)</w:t>
      </w:r>
      <w:r w:rsidRPr="00531B9C">
        <w:t>.</w:t>
      </w:r>
    </w:p>
    <w:p w14:paraId="4E3357F1" w14:textId="77777777" w:rsidR="00730315" w:rsidRDefault="00774BD8" w:rsidP="00202050">
      <w:pPr>
        <w:numPr>
          <w:ilvl w:val="2"/>
          <w:numId w:val="55"/>
        </w:numPr>
      </w:pPr>
      <w:r w:rsidRPr="00531B9C">
        <w:t>Residence (if a business, where it is incorporated).</w:t>
      </w:r>
    </w:p>
    <w:p w14:paraId="6762ACC9" w14:textId="77777777" w:rsidR="00730315" w:rsidRDefault="00774BD8" w:rsidP="00202050">
      <w:pPr>
        <w:numPr>
          <w:ilvl w:val="2"/>
          <w:numId w:val="55"/>
        </w:numPr>
      </w:pPr>
      <w:r w:rsidRPr="00531B9C">
        <w:t>Proximity of residence, place of employment</w:t>
      </w:r>
      <w:r w:rsidR="00730315">
        <w:t>,</w:t>
      </w:r>
      <w:r w:rsidRPr="00531B9C">
        <w:t xml:space="preserve"> or business to the Credit Union.</w:t>
      </w:r>
    </w:p>
    <w:p w14:paraId="2F12231D" w14:textId="77777777" w:rsidR="00730315" w:rsidRDefault="00730315" w:rsidP="00202050">
      <w:pPr>
        <w:numPr>
          <w:ilvl w:val="2"/>
          <w:numId w:val="55"/>
        </w:numPr>
      </w:pPr>
      <w:r>
        <w:t>Expected transaction volumes and counterparties.</w:t>
      </w:r>
    </w:p>
    <w:p w14:paraId="51030863" w14:textId="77777777" w:rsidR="00730315" w:rsidRDefault="00774BD8" w:rsidP="00202050">
      <w:pPr>
        <w:numPr>
          <w:ilvl w:val="2"/>
          <w:numId w:val="55"/>
        </w:numPr>
      </w:pPr>
      <w:r w:rsidRPr="00531B9C">
        <w:t>Whether international transactions are expected to be routine.</w:t>
      </w:r>
    </w:p>
    <w:p w14:paraId="59E8349C" w14:textId="77777777" w:rsidR="00730315" w:rsidRDefault="00774BD8" w:rsidP="00202050">
      <w:pPr>
        <w:numPr>
          <w:ilvl w:val="2"/>
          <w:numId w:val="55"/>
        </w:numPr>
      </w:pPr>
      <w:r w:rsidRPr="00531B9C">
        <w:t xml:space="preserve">Explanations for changes in </w:t>
      </w:r>
      <w:proofErr w:type="gramStart"/>
      <w:r w:rsidRPr="00531B9C">
        <w:t>account</w:t>
      </w:r>
      <w:proofErr w:type="gramEnd"/>
      <w:r w:rsidRPr="00531B9C">
        <w:t xml:space="preserve"> activity. </w:t>
      </w:r>
    </w:p>
    <w:p w14:paraId="2F51D973" w14:textId="3C372674" w:rsidR="0093657F" w:rsidRDefault="00774BD8" w:rsidP="00202050">
      <w:pPr>
        <w:numPr>
          <w:ilvl w:val="2"/>
          <w:numId w:val="55"/>
        </w:numPr>
      </w:pPr>
      <w:r w:rsidRPr="00531B9C">
        <w:lastRenderedPageBreak/>
        <w:t>Description of business operations, anticipated volume of currency</w:t>
      </w:r>
      <w:r w:rsidR="00730315">
        <w:t>,</w:t>
      </w:r>
      <w:r w:rsidRPr="00531B9C">
        <w:t xml:space="preserve"> and sales.</w:t>
      </w:r>
    </w:p>
    <w:p w14:paraId="2F900DCC" w14:textId="77777777" w:rsidR="001C410B" w:rsidRDefault="00774BD8" w:rsidP="00202050">
      <w:pPr>
        <w:numPr>
          <w:ilvl w:val="2"/>
          <w:numId w:val="55"/>
        </w:numPr>
      </w:pPr>
      <w:r w:rsidRPr="00531B9C">
        <w:t>References.</w:t>
      </w:r>
    </w:p>
    <w:p w14:paraId="33ACE234" w14:textId="3D2C75A0" w:rsidR="007906B6" w:rsidRPr="007906B6" w:rsidRDefault="001C410B" w:rsidP="00202050">
      <w:pPr>
        <w:numPr>
          <w:ilvl w:val="2"/>
          <w:numId w:val="55"/>
        </w:numPr>
      </w:pPr>
      <w:r>
        <w:t>Negative</w:t>
      </w:r>
      <w:r w:rsidR="008A01EB">
        <w:t xml:space="preserve"> media or adverse information searches.</w:t>
      </w:r>
      <w:r w:rsidR="0017243E">
        <w:br/>
      </w:r>
    </w:p>
    <w:p w14:paraId="308DE8B1" w14:textId="7818A5F8" w:rsidR="007906B6" w:rsidRPr="00CD3E9D" w:rsidRDefault="007906B6" w:rsidP="007906B6">
      <w:pPr>
        <w:pStyle w:val="ListParagraph"/>
        <w:numPr>
          <w:ilvl w:val="0"/>
          <w:numId w:val="36"/>
        </w:numPr>
        <w:rPr>
          <w:b/>
          <w:bCs/>
        </w:rPr>
      </w:pPr>
      <w:r w:rsidRPr="00FF400A">
        <w:rPr>
          <w:b/>
          <w:bCs/>
        </w:rPr>
        <w:t>Ongoing Monitoring</w:t>
      </w:r>
      <w:r w:rsidR="00CD3E9D">
        <w:rPr>
          <w:b/>
          <w:bCs/>
        </w:rPr>
        <w:t xml:space="preserve">.  </w:t>
      </w:r>
      <w:r w:rsidRPr="007906B6">
        <w:t xml:space="preserve">The </w:t>
      </w:r>
      <w:r w:rsidR="00CD3E9D">
        <w:t>C</w:t>
      </w:r>
      <w:r w:rsidRPr="007906B6">
        <w:t xml:space="preserve">redit </w:t>
      </w:r>
      <w:r w:rsidR="00CD3E9D">
        <w:t>U</w:t>
      </w:r>
      <w:r w:rsidRPr="007906B6">
        <w:t xml:space="preserve">nion conducts ongoing monitoring of </w:t>
      </w:r>
      <w:r w:rsidR="003A22AB">
        <w:t xml:space="preserve">all </w:t>
      </w:r>
      <w:r w:rsidRPr="007906B6">
        <w:t xml:space="preserve">member </w:t>
      </w:r>
      <w:r w:rsidR="00422516">
        <w:t>relationships</w:t>
      </w:r>
      <w:r w:rsidR="009B6C0A">
        <w:t xml:space="preserve">, with increased and more frequent monitoring reserved for those member relationships classified as high risk.  </w:t>
      </w:r>
      <w:r w:rsidRPr="007906B6">
        <w:t>Unusual or suspicious activity is investigated and, when appropriate, reported through the filing of a Suspicious Activity Report (SAR).</w:t>
      </w:r>
    </w:p>
    <w:p w14:paraId="47F23130" w14:textId="3FF860BF" w:rsidR="007906B6" w:rsidRPr="007906B6" w:rsidRDefault="007906B6" w:rsidP="00B47715">
      <w:pPr>
        <w:ind w:left="360"/>
      </w:pPr>
      <w:r w:rsidRPr="007906B6">
        <w:t xml:space="preserve">Member information, including beneficial ownership information, is updated on an </w:t>
      </w:r>
      <w:r w:rsidRPr="007906B6">
        <w:rPr>
          <w:b/>
          <w:bCs/>
        </w:rPr>
        <w:t>event-driven, risk-based basis</w:t>
      </w:r>
      <w:r w:rsidRPr="007906B6">
        <w:t>, including when the credit union becomes aware of:</w:t>
      </w:r>
    </w:p>
    <w:p w14:paraId="3155D3C8" w14:textId="77777777" w:rsidR="007906B6" w:rsidRPr="007906B6" w:rsidRDefault="007906B6" w:rsidP="0017243E">
      <w:pPr>
        <w:numPr>
          <w:ilvl w:val="0"/>
          <w:numId w:val="45"/>
        </w:numPr>
      </w:pPr>
      <w:r w:rsidRPr="007906B6">
        <w:t xml:space="preserve">Significant or unexplained changes in </w:t>
      </w:r>
      <w:proofErr w:type="gramStart"/>
      <w:r w:rsidRPr="007906B6">
        <w:t>account</w:t>
      </w:r>
      <w:proofErr w:type="gramEnd"/>
      <w:r w:rsidRPr="007906B6">
        <w:t xml:space="preserve"> activity</w:t>
      </w:r>
    </w:p>
    <w:p w14:paraId="44AA7539" w14:textId="77777777" w:rsidR="007906B6" w:rsidRPr="007906B6" w:rsidRDefault="007906B6" w:rsidP="0017243E">
      <w:pPr>
        <w:numPr>
          <w:ilvl w:val="0"/>
          <w:numId w:val="45"/>
        </w:numPr>
      </w:pPr>
      <w:r w:rsidRPr="007906B6">
        <w:t>Changes in employment or business operations</w:t>
      </w:r>
    </w:p>
    <w:p w14:paraId="5A5FF62E" w14:textId="77777777" w:rsidR="007906B6" w:rsidRPr="007906B6" w:rsidRDefault="007906B6" w:rsidP="0017243E">
      <w:pPr>
        <w:numPr>
          <w:ilvl w:val="0"/>
          <w:numId w:val="45"/>
        </w:numPr>
      </w:pPr>
      <w:r w:rsidRPr="007906B6">
        <w:t>Changes in ownership or control</w:t>
      </w:r>
    </w:p>
    <w:p w14:paraId="2E7420D3" w14:textId="77777777" w:rsidR="007906B6" w:rsidRPr="007906B6" w:rsidRDefault="007906B6" w:rsidP="0017243E">
      <w:pPr>
        <w:numPr>
          <w:ilvl w:val="0"/>
          <w:numId w:val="45"/>
        </w:numPr>
      </w:pPr>
      <w:r w:rsidRPr="007906B6">
        <w:t>Law enforcement inquiries or regulatory requests</w:t>
      </w:r>
    </w:p>
    <w:p w14:paraId="381BF786" w14:textId="77777777" w:rsidR="007906B6" w:rsidRPr="007906B6" w:rsidRDefault="007906B6" w:rsidP="0017243E">
      <w:pPr>
        <w:numPr>
          <w:ilvl w:val="0"/>
          <w:numId w:val="45"/>
        </w:numPr>
      </w:pPr>
      <w:r w:rsidRPr="007906B6">
        <w:t>Negative media or adverse information</w:t>
      </w:r>
    </w:p>
    <w:p w14:paraId="23F3A45A" w14:textId="77777777" w:rsidR="007906B6" w:rsidRDefault="007906B6" w:rsidP="00B47715">
      <w:r w:rsidRPr="007906B6">
        <w:t>There is no requirement for continuous or automatic periodic updates; however, the credit union may conduct periodic reviews for higher-risk members as determined by policy.</w:t>
      </w:r>
    </w:p>
    <w:p w14:paraId="4AB3B55B" w14:textId="5D972124" w:rsidR="00B8040F" w:rsidRPr="007906B6" w:rsidRDefault="00E86346" w:rsidP="00B47715">
      <w:r>
        <w:t xml:space="preserve">The </w:t>
      </w:r>
      <w:r w:rsidR="00D27693">
        <w:t xml:space="preserve">BSA Officer or their delegate will ensure member relationships are reviewed, </w:t>
      </w:r>
      <w:r w:rsidR="00F5015B">
        <w:t xml:space="preserve">updates to member information are made, and </w:t>
      </w:r>
      <w:r w:rsidR="0005050B">
        <w:t>members’</w:t>
      </w:r>
      <w:r w:rsidR="00F5015B">
        <w:t xml:space="preserve"> risk profiles are updated as needed based on ongoing monitoring.</w:t>
      </w:r>
      <w:r w:rsidR="0005050B">
        <w:t xml:space="preserve">  </w:t>
      </w:r>
      <w:r w:rsidR="000E26B1">
        <w:t xml:space="preserve">The BSA Officer will also be responsible for escalating </w:t>
      </w:r>
      <w:r w:rsidR="00F66530">
        <w:t xml:space="preserve">issues that may warrant potentially unacceptable risk to the Credit Union.  </w:t>
      </w:r>
      <w:r w:rsidR="0005050B">
        <w:t xml:space="preserve">Procedures will be established </w:t>
      </w:r>
      <w:r w:rsidR="00EE7BD6">
        <w:t xml:space="preserve">on </w:t>
      </w:r>
      <w:r w:rsidR="00740272">
        <w:t xml:space="preserve">review frequency and changes to </w:t>
      </w:r>
      <w:r w:rsidR="005B16A8">
        <w:t>risk profiles.</w:t>
      </w:r>
      <w:r w:rsidR="0012771D">
        <w:t xml:space="preserve">  </w:t>
      </w:r>
      <w:r w:rsidR="00A44791">
        <w:br/>
      </w:r>
    </w:p>
    <w:p w14:paraId="2F105868" w14:textId="4F60733E" w:rsidR="007906B6" w:rsidRPr="001344EF" w:rsidRDefault="007906B6" w:rsidP="001344EF">
      <w:pPr>
        <w:pStyle w:val="ListParagraph"/>
        <w:numPr>
          <w:ilvl w:val="0"/>
          <w:numId w:val="36"/>
        </w:numPr>
        <w:rPr>
          <w:b/>
          <w:bCs/>
        </w:rPr>
      </w:pPr>
      <w:r w:rsidRPr="001344EF">
        <w:rPr>
          <w:b/>
          <w:bCs/>
        </w:rPr>
        <w:t>Roles and Responsibilities</w:t>
      </w:r>
      <w:r w:rsidR="001344EF">
        <w:rPr>
          <w:b/>
          <w:bCs/>
        </w:rPr>
        <w:t xml:space="preserve">.  </w:t>
      </w:r>
      <w:r w:rsidR="001344EF">
        <w:t xml:space="preserve">The following </w:t>
      </w:r>
      <w:r w:rsidR="006444FB">
        <w:t>responsibilities will be associated with the applicable roles:</w:t>
      </w:r>
    </w:p>
    <w:p w14:paraId="211C496D" w14:textId="15820CAE" w:rsidR="007906B6" w:rsidRPr="007906B6" w:rsidRDefault="007906B6" w:rsidP="00B90E39">
      <w:pPr>
        <w:numPr>
          <w:ilvl w:val="0"/>
          <w:numId w:val="47"/>
        </w:numPr>
      </w:pPr>
      <w:r w:rsidRPr="007906B6">
        <w:rPr>
          <w:b/>
          <w:bCs/>
        </w:rPr>
        <w:t>Board of Directors</w:t>
      </w:r>
      <w:r w:rsidRPr="007906B6">
        <w:t xml:space="preserve">: Provides oversight and approves the </w:t>
      </w:r>
      <w:r w:rsidR="006444FB">
        <w:t>BSA Policy.</w:t>
      </w:r>
    </w:p>
    <w:p w14:paraId="5539A48D" w14:textId="6277F84B" w:rsidR="007906B6" w:rsidRPr="007906B6" w:rsidRDefault="007906B6" w:rsidP="00B90E39">
      <w:pPr>
        <w:numPr>
          <w:ilvl w:val="0"/>
          <w:numId w:val="47"/>
        </w:numPr>
      </w:pPr>
      <w:r w:rsidRPr="007906B6">
        <w:rPr>
          <w:b/>
          <w:bCs/>
        </w:rPr>
        <w:t>Senior Management</w:t>
      </w:r>
      <w:r w:rsidRPr="007906B6">
        <w:t>: Ensures effective implementation of the CDD</w:t>
      </w:r>
      <w:r w:rsidR="007E6714">
        <w:t>/MDD</w:t>
      </w:r>
      <w:r w:rsidRPr="007906B6">
        <w:t xml:space="preserve"> program.</w:t>
      </w:r>
    </w:p>
    <w:p w14:paraId="1F6A99C7" w14:textId="0AB82832" w:rsidR="007906B6" w:rsidRPr="007906B6" w:rsidRDefault="007906B6" w:rsidP="00B90E39">
      <w:pPr>
        <w:numPr>
          <w:ilvl w:val="0"/>
          <w:numId w:val="47"/>
        </w:numPr>
      </w:pPr>
      <w:r w:rsidRPr="007906B6">
        <w:rPr>
          <w:b/>
          <w:bCs/>
        </w:rPr>
        <w:t>BSA/AML Officer</w:t>
      </w:r>
      <w:r w:rsidRPr="007906B6">
        <w:t>: Oversees CDD</w:t>
      </w:r>
      <w:r w:rsidR="007E6714">
        <w:t>/MDD program, including</w:t>
      </w:r>
      <w:r w:rsidRPr="007906B6">
        <w:t xml:space="preserve"> procedures, risk assessments, monitoring, and reporting.</w:t>
      </w:r>
    </w:p>
    <w:p w14:paraId="579A37FD" w14:textId="5E76E5FC" w:rsidR="007906B6" w:rsidRPr="007906B6" w:rsidRDefault="007906B6" w:rsidP="00B90E39">
      <w:pPr>
        <w:numPr>
          <w:ilvl w:val="0"/>
          <w:numId w:val="47"/>
        </w:numPr>
      </w:pPr>
      <w:r w:rsidRPr="007906B6">
        <w:rPr>
          <w:b/>
          <w:bCs/>
        </w:rPr>
        <w:lastRenderedPageBreak/>
        <w:t>Staff</w:t>
      </w:r>
      <w:r w:rsidRPr="007906B6">
        <w:t xml:space="preserve">: Collects member information and escalates unusual activity </w:t>
      </w:r>
      <w:r w:rsidR="001C2E8C">
        <w:t>to the BSA Officer.</w:t>
      </w:r>
      <w:r w:rsidR="00A44791">
        <w:br/>
      </w:r>
    </w:p>
    <w:p w14:paraId="43BAD887" w14:textId="712E12A9" w:rsidR="007906B6" w:rsidRPr="007906B6" w:rsidRDefault="007906B6" w:rsidP="001C2E8C">
      <w:pPr>
        <w:pStyle w:val="ListParagraph"/>
        <w:numPr>
          <w:ilvl w:val="0"/>
          <w:numId w:val="36"/>
        </w:numPr>
      </w:pPr>
      <w:r w:rsidRPr="001C2E8C">
        <w:rPr>
          <w:b/>
          <w:bCs/>
        </w:rPr>
        <w:t>P</w:t>
      </w:r>
      <w:r w:rsidR="001C2E8C" w:rsidRPr="001C2E8C">
        <w:rPr>
          <w:b/>
          <w:bCs/>
        </w:rPr>
        <w:t>rogram</w:t>
      </w:r>
      <w:r w:rsidRPr="001C2E8C">
        <w:rPr>
          <w:b/>
          <w:bCs/>
        </w:rPr>
        <w:t xml:space="preserve"> Review</w:t>
      </w:r>
      <w:r w:rsidR="001C2E8C" w:rsidRPr="001C2E8C">
        <w:rPr>
          <w:b/>
          <w:bCs/>
        </w:rPr>
        <w:t xml:space="preserve">.  </w:t>
      </w:r>
      <w:r w:rsidR="001C2E8C">
        <w:t>The Credit Union will review this program at least annually and update it as necessary to reflect changes in regulations, guidance, products, services, or risk profile.</w:t>
      </w:r>
    </w:p>
    <w:p w14:paraId="48E9453E" w14:textId="77777777" w:rsidR="00EB2633" w:rsidRDefault="00EB2633"/>
    <w:sectPr w:rsidR="00EB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2F1"/>
    <w:multiLevelType w:val="multilevel"/>
    <w:tmpl w:val="5F0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49A7"/>
    <w:multiLevelType w:val="multilevel"/>
    <w:tmpl w:val="AD2A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36B52"/>
    <w:multiLevelType w:val="multilevel"/>
    <w:tmpl w:val="D1B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80353"/>
    <w:multiLevelType w:val="multilevel"/>
    <w:tmpl w:val="774A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F3384"/>
    <w:multiLevelType w:val="hybridMultilevel"/>
    <w:tmpl w:val="10DC3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227A1944">
      <w:start w:val="1"/>
      <w:numFmt w:val="upperLetter"/>
      <w:lvlText w:val="%3."/>
      <w:lvlJc w:val="left"/>
      <w:pPr>
        <w:ind w:left="27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90FD7"/>
    <w:multiLevelType w:val="multilevel"/>
    <w:tmpl w:val="B14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F62D5"/>
    <w:multiLevelType w:val="multilevel"/>
    <w:tmpl w:val="86B67A0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E4E69"/>
    <w:multiLevelType w:val="multilevel"/>
    <w:tmpl w:val="9C1E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52837"/>
    <w:multiLevelType w:val="hybridMultilevel"/>
    <w:tmpl w:val="0D06E14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F45C8F"/>
    <w:multiLevelType w:val="multilevel"/>
    <w:tmpl w:val="41F83B6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60724"/>
    <w:multiLevelType w:val="multilevel"/>
    <w:tmpl w:val="252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201D5A"/>
    <w:multiLevelType w:val="multilevel"/>
    <w:tmpl w:val="96E6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910EE6"/>
    <w:multiLevelType w:val="hybridMultilevel"/>
    <w:tmpl w:val="D040BAB8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720" w:hanging="360"/>
      </w:pPr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FC39C1"/>
    <w:multiLevelType w:val="hybridMultilevel"/>
    <w:tmpl w:val="2DA6BE6A"/>
    <w:lvl w:ilvl="0" w:tplc="93E663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765EB"/>
    <w:multiLevelType w:val="multilevel"/>
    <w:tmpl w:val="693C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E3C2E"/>
    <w:multiLevelType w:val="multilevel"/>
    <w:tmpl w:val="C44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E4B7A"/>
    <w:multiLevelType w:val="hybridMultilevel"/>
    <w:tmpl w:val="7B1C422A"/>
    <w:lvl w:ilvl="0" w:tplc="D0583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AB6E3F"/>
    <w:multiLevelType w:val="multilevel"/>
    <w:tmpl w:val="78C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D644DC"/>
    <w:multiLevelType w:val="hybridMultilevel"/>
    <w:tmpl w:val="E17857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3E4D4A"/>
    <w:multiLevelType w:val="multilevel"/>
    <w:tmpl w:val="B626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8A3347"/>
    <w:multiLevelType w:val="multilevel"/>
    <w:tmpl w:val="F1A2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B92167"/>
    <w:multiLevelType w:val="hybridMultilevel"/>
    <w:tmpl w:val="6980D93C"/>
    <w:lvl w:ilvl="0" w:tplc="93E663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390FAA"/>
    <w:multiLevelType w:val="multilevel"/>
    <w:tmpl w:val="9BBC15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274ED4"/>
    <w:multiLevelType w:val="multilevel"/>
    <w:tmpl w:val="C2BA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E512F0"/>
    <w:multiLevelType w:val="hybridMultilevel"/>
    <w:tmpl w:val="E178570E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0111B5D"/>
    <w:multiLevelType w:val="hybridMultilevel"/>
    <w:tmpl w:val="8DF0C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B2C0D"/>
    <w:multiLevelType w:val="multilevel"/>
    <w:tmpl w:val="7048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87C91"/>
    <w:multiLevelType w:val="hybridMultilevel"/>
    <w:tmpl w:val="32CC2178"/>
    <w:lvl w:ilvl="0" w:tplc="93E663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0"/>
    <w:multiLevelType w:val="multilevel"/>
    <w:tmpl w:val="F178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991739"/>
    <w:multiLevelType w:val="multilevel"/>
    <w:tmpl w:val="50D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A120D8"/>
    <w:multiLevelType w:val="multilevel"/>
    <w:tmpl w:val="6AF4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871ECE"/>
    <w:multiLevelType w:val="multilevel"/>
    <w:tmpl w:val="12E0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A5702A"/>
    <w:multiLevelType w:val="hybridMultilevel"/>
    <w:tmpl w:val="C3B236A4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AD019F"/>
    <w:multiLevelType w:val="multilevel"/>
    <w:tmpl w:val="CABA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C918E3"/>
    <w:multiLevelType w:val="hybridMultilevel"/>
    <w:tmpl w:val="90F20F0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B336F9"/>
    <w:multiLevelType w:val="multilevel"/>
    <w:tmpl w:val="34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3F7E07"/>
    <w:multiLevelType w:val="multilevel"/>
    <w:tmpl w:val="5A5834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D220A4"/>
    <w:multiLevelType w:val="multilevel"/>
    <w:tmpl w:val="ACF83C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750794"/>
    <w:multiLevelType w:val="hybridMultilevel"/>
    <w:tmpl w:val="E178570E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5914205"/>
    <w:multiLevelType w:val="multilevel"/>
    <w:tmpl w:val="D52E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77369F"/>
    <w:multiLevelType w:val="multilevel"/>
    <w:tmpl w:val="2C90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1B77F2"/>
    <w:multiLevelType w:val="multilevel"/>
    <w:tmpl w:val="B244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CB6E00"/>
    <w:multiLevelType w:val="multilevel"/>
    <w:tmpl w:val="A1AC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4937B9"/>
    <w:multiLevelType w:val="multilevel"/>
    <w:tmpl w:val="0274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B565BE"/>
    <w:multiLevelType w:val="multilevel"/>
    <w:tmpl w:val="0A6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C058EC"/>
    <w:multiLevelType w:val="multilevel"/>
    <w:tmpl w:val="5844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34233E"/>
    <w:multiLevelType w:val="multilevel"/>
    <w:tmpl w:val="164471A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E252E7"/>
    <w:multiLevelType w:val="multilevel"/>
    <w:tmpl w:val="4BC6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F96F45"/>
    <w:multiLevelType w:val="multilevel"/>
    <w:tmpl w:val="07B2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D24DF0"/>
    <w:multiLevelType w:val="multilevel"/>
    <w:tmpl w:val="8AD8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462209"/>
    <w:multiLevelType w:val="multilevel"/>
    <w:tmpl w:val="0D62B9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A56419"/>
    <w:multiLevelType w:val="hybridMultilevel"/>
    <w:tmpl w:val="147A06C8"/>
    <w:lvl w:ilvl="0" w:tplc="746A6C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057CCB"/>
    <w:multiLevelType w:val="multilevel"/>
    <w:tmpl w:val="96F8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532278"/>
    <w:multiLevelType w:val="hybridMultilevel"/>
    <w:tmpl w:val="693C7E46"/>
    <w:lvl w:ilvl="0" w:tplc="A5C638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EFC5EB6"/>
    <w:multiLevelType w:val="hybridMultilevel"/>
    <w:tmpl w:val="75361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88438">
    <w:abstractNumId w:val="36"/>
  </w:num>
  <w:num w:numId="2" w16cid:durableId="1121847707">
    <w:abstractNumId w:val="14"/>
  </w:num>
  <w:num w:numId="3" w16cid:durableId="704020353">
    <w:abstractNumId w:val="5"/>
  </w:num>
  <w:num w:numId="4" w16cid:durableId="2111777353">
    <w:abstractNumId w:val="42"/>
  </w:num>
  <w:num w:numId="5" w16cid:durableId="189687092">
    <w:abstractNumId w:val="47"/>
  </w:num>
  <w:num w:numId="6" w16cid:durableId="280696192">
    <w:abstractNumId w:val="44"/>
  </w:num>
  <w:num w:numId="7" w16cid:durableId="1438404880">
    <w:abstractNumId w:val="26"/>
  </w:num>
  <w:num w:numId="8" w16cid:durableId="236329714">
    <w:abstractNumId w:val="17"/>
  </w:num>
  <w:num w:numId="9" w16cid:durableId="1693143084">
    <w:abstractNumId w:val="1"/>
  </w:num>
  <w:num w:numId="10" w16cid:durableId="1114860715">
    <w:abstractNumId w:val="52"/>
  </w:num>
  <w:num w:numId="11" w16cid:durableId="1067647817">
    <w:abstractNumId w:val="30"/>
  </w:num>
  <w:num w:numId="12" w16cid:durableId="542208608">
    <w:abstractNumId w:val="7"/>
  </w:num>
  <w:num w:numId="13" w16cid:durableId="2010478796">
    <w:abstractNumId w:val="15"/>
  </w:num>
  <w:num w:numId="14" w16cid:durableId="931015667">
    <w:abstractNumId w:val="45"/>
  </w:num>
  <w:num w:numId="15" w16cid:durableId="1017541879">
    <w:abstractNumId w:val="19"/>
  </w:num>
  <w:num w:numId="16" w16cid:durableId="1733654016">
    <w:abstractNumId w:val="3"/>
  </w:num>
  <w:num w:numId="17" w16cid:durableId="607011279">
    <w:abstractNumId w:val="0"/>
  </w:num>
  <w:num w:numId="18" w16cid:durableId="202181419">
    <w:abstractNumId w:val="35"/>
  </w:num>
  <w:num w:numId="19" w16cid:durableId="1167403560">
    <w:abstractNumId w:val="10"/>
  </w:num>
  <w:num w:numId="20" w16cid:durableId="1827823671">
    <w:abstractNumId w:val="33"/>
  </w:num>
  <w:num w:numId="21" w16cid:durableId="964115011">
    <w:abstractNumId w:val="28"/>
  </w:num>
  <w:num w:numId="22" w16cid:durableId="401871681">
    <w:abstractNumId w:val="23"/>
  </w:num>
  <w:num w:numId="23" w16cid:durableId="505558472">
    <w:abstractNumId w:val="11"/>
  </w:num>
  <w:num w:numId="24" w16cid:durableId="1151871194">
    <w:abstractNumId w:val="49"/>
  </w:num>
  <w:num w:numId="25" w16cid:durableId="1911697566">
    <w:abstractNumId w:val="48"/>
  </w:num>
  <w:num w:numId="26" w16cid:durableId="132066939">
    <w:abstractNumId w:val="2"/>
  </w:num>
  <w:num w:numId="27" w16cid:durableId="445270288">
    <w:abstractNumId w:val="29"/>
  </w:num>
  <w:num w:numId="28" w16cid:durableId="160506376">
    <w:abstractNumId w:val="43"/>
  </w:num>
  <w:num w:numId="29" w16cid:durableId="1904096677">
    <w:abstractNumId w:val="20"/>
  </w:num>
  <w:num w:numId="30" w16cid:durableId="1991401012">
    <w:abstractNumId w:val="31"/>
  </w:num>
  <w:num w:numId="31" w16cid:durableId="346564796">
    <w:abstractNumId w:val="16"/>
  </w:num>
  <w:num w:numId="32" w16cid:durableId="1306349531">
    <w:abstractNumId w:val="27"/>
  </w:num>
  <w:num w:numId="33" w16cid:durableId="214246803">
    <w:abstractNumId w:val="25"/>
  </w:num>
  <w:num w:numId="34" w16cid:durableId="1474518609">
    <w:abstractNumId w:val="4"/>
  </w:num>
  <w:num w:numId="35" w16cid:durableId="2130079537">
    <w:abstractNumId w:val="54"/>
  </w:num>
  <w:num w:numId="36" w16cid:durableId="592125459">
    <w:abstractNumId w:val="53"/>
  </w:num>
  <w:num w:numId="37" w16cid:durableId="734544847">
    <w:abstractNumId w:val="13"/>
  </w:num>
  <w:num w:numId="38" w16cid:durableId="57680354">
    <w:abstractNumId w:val="8"/>
  </w:num>
  <w:num w:numId="39" w16cid:durableId="861816947">
    <w:abstractNumId w:val="9"/>
  </w:num>
  <w:num w:numId="40" w16cid:durableId="1629435945">
    <w:abstractNumId w:val="6"/>
  </w:num>
  <w:num w:numId="41" w16cid:durableId="157501422">
    <w:abstractNumId w:val="21"/>
  </w:num>
  <w:num w:numId="42" w16cid:durableId="681325970">
    <w:abstractNumId w:val="22"/>
  </w:num>
  <w:num w:numId="43" w16cid:durableId="1011293822">
    <w:abstractNumId w:val="46"/>
  </w:num>
  <w:num w:numId="44" w16cid:durableId="1502888406">
    <w:abstractNumId w:val="32"/>
  </w:num>
  <w:num w:numId="45" w16cid:durableId="1813668928">
    <w:abstractNumId w:val="37"/>
  </w:num>
  <w:num w:numId="46" w16cid:durableId="1744719985">
    <w:abstractNumId w:val="51"/>
  </w:num>
  <w:num w:numId="47" w16cid:durableId="1529752984">
    <w:abstractNumId w:val="50"/>
  </w:num>
  <w:num w:numId="48" w16cid:durableId="1258947796">
    <w:abstractNumId w:val="12"/>
  </w:num>
  <w:num w:numId="49" w16cid:durableId="761678696">
    <w:abstractNumId w:val="41"/>
  </w:num>
  <w:num w:numId="50" w16cid:durableId="1935047020">
    <w:abstractNumId w:val="39"/>
  </w:num>
  <w:num w:numId="51" w16cid:durableId="849103138">
    <w:abstractNumId w:val="34"/>
  </w:num>
  <w:num w:numId="52" w16cid:durableId="999039813">
    <w:abstractNumId w:val="18"/>
  </w:num>
  <w:num w:numId="53" w16cid:durableId="1201044390">
    <w:abstractNumId w:val="24"/>
  </w:num>
  <w:num w:numId="54" w16cid:durableId="1557937536">
    <w:abstractNumId w:val="38"/>
  </w:num>
  <w:num w:numId="55" w16cid:durableId="50767309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B6"/>
    <w:rsid w:val="0005050B"/>
    <w:rsid w:val="000D461F"/>
    <w:rsid w:val="000E26B1"/>
    <w:rsid w:val="001155F4"/>
    <w:rsid w:val="00121C5C"/>
    <w:rsid w:val="0012771D"/>
    <w:rsid w:val="001344EF"/>
    <w:rsid w:val="001407E4"/>
    <w:rsid w:val="0017243E"/>
    <w:rsid w:val="001C2E8C"/>
    <w:rsid w:val="001C410B"/>
    <w:rsid w:val="00202050"/>
    <w:rsid w:val="00275C23"/>
    <w:rsid w:val="002955AB"/>
    <w:rsid w:val="00315CDF"/>
    <w:rsid w:val="003A22AB"/>
    <w:rsid w:val="003F5B52"/>
    <w:rsid w:val="00422516"/>
    <w:rsid w:val="004243FD"/>
    <w:rsid w:val="004304B9"/>
    <w:rsid w:val="004310F4"/>
    <w:rsid w:val="00441D55"/>
    <w:rsid w:val="00493A05"/>
    <w:rsid w:val="004A435C"/>
    <w:rsid w:val="004C434C"/>
    <w:rsid w:val="004C4DE1"/>
    <w:rsid w:val="005B16A8"/>
    <w:rsid w:val="005C0B41"/>
    <w:rsid w:val="005E2DEF"/>
    <w:rsid w:val="00625653"/>
    <w:rsid w:val="006444FB"/>
    <w:rsid w:val="006C2725"/>
    <w:rsid w:val="006C6F06"/>
    <w:rsid w:val="00720C7B"/>
    <w:rsid w:val="00730315"/>
    <w:rsid w:val="00740272"/>
    <w:rsid w:val="00774BD8"/>
    <w:rsid w:val="007906B6"/>
    <w:rsid w:val="007D24E7"/>
    <w:rsid w:val="007E5D1F"/>
    <w:rsid w:val="007E6714"/>
    <w:rsid w:val="00850F8E"/>
    <w:rsid w:val="008A01EB"/>
    <w:rsid w:val="008D12CB"/>
    <w:rsid w:val="0093657F"/>
    <w:rsid w:val="009B6C0A"/>
    <w:rsid w:val="009E03C0"/>
    <w:rsid w:val="00A11CE1"/>
    <w:rsid w:val="00A44791"/>
    <w:rsid w:val="00A8178A"/>
    <w:rsid w:val="00AD177C"/>
    <w:rsid w:val="00AD5B72"/>
    <w:rsid w:val="00AF6B25"/>
    <w:rsid w:val="00B010C8"/>
    <w:rsid w:val="00B13090"/>
    <w:rsid w:val="00B47715"/>
    <w:rsid w:val="00B64330"/>
    <w:rsid w:val="00B8040F"/>
    <w:rsid w:val="00B90E39"/>
    <w:rsid w:val="00C852A8"/>
    <w:rsid w:val="00CC2EEA"/>
    <w:rsid w:val="00CD3E9D"/>
    <w:rsid w:val="00CF4C3E"/>
    <w:rsid w:val="00D27693"/>
    <w:rsid w:val="00D32614"/>
    <w:rsid w:val="00E11B7C"/>
    <w:rsid w:val="00E86346"/>
    <w:rsid w:val="00EB2633"/>
    <w:rsid w:val="00EE1929"/>
    <w:rsid w:val="00EE7BD6"/>
    <w:rsid w:val="00F5015B"/>
    <w:rsid w:val="00F66530"/>
    <w:rsid w:val="00FA2EE3"/>
    <w:rsid w:val="00FE398A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696B"/>
  <w15:chartTrackingRefBased/>
  <w15:docId w15:val="{5E6D9B45-A04B-4B62-86A5-291A446E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6B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50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947</Words>
  <Characters>5684</Characters>
  <Application>Microsoft Office Word</Application>
  <DocSecurity>4</DocSecurity>
  <Lines>123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LeDu</dc:creator>
  <cp:keywords/>
  <dc:description/>
  <cp:lastModifiedBy>Rhonda Criss</cp:lastModifiedBy>
  <cp:revision>2</cp:revision>
  <dcterms:created xsi:type="dcterms:W3CDTF">2026-03-13T14:38:00Z</dcterms:created>
  <dcterms:modified xsi:type="dcterms:W3CDTF">2026-03-13T14:38:00Z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88431b2c-08b9-4d8c-85ef-e5610f496b00</vt:lpwstr>
  </property>
</Properties>
</file>